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A3CC" w14:textId="77777777" w:rsidR="00C65DB2" w:rsidRPr="0012581A" w:rsidRDefault="00C65DB2" w:rsidP="00C65DB2">
      <w:pPr>
        <w:spacing w:after="150" w:line="240" w:lineRule="auto"/>
        <w:ind w:left="399" w:right="-26" w:firstLine="1041"/>
        <w:jc w:val="center"/>
        <w:rPr>
          <w:rFonts w:ascii="Calibri" w:eastAsia="Times New Roman" w:hAnsi="Calibri" w:cs="Calibri"/>
          <w:b/>
          <w:color w:val="385623"/>
          <w:sz w:val="36"/>
          <w:szCs w:val="36"/>
          <w:lang w:eastAsia="en-US"/>
        </w:rPr>
      </w:pPr>
      <w:r w:rsidRPr="0012581A">
        <w:rPr>
          <w:rFonts w:ascii="Times New Roman" w:eastAsia="Times New Roman" w:hAnsi="Times New Roman" w:cs="Times New Roman"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B714466" wp14:editId="3359D95E">
            <wp:simplePos x="0" y="0"/>
            <wp:positionH relativeFrom="margin">
              <wp:posOffset>-99695</wp:posOffset>
            </wp:positionH>
            <wp:positionV relativeFrom="margin">
              <wp:posOffset>-3175</wp:posOffset>
            </wp:positionV>
            <wp:extent cx="1136650" cy="1009650"/>
            <wp:effectExtent l="0" t="0" r="6350" b="0"/>
            <wp:wrapSquare wrapText="bothSides"/>
            <wp:docPr id="1" name="Picture 1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EEF3C4-1860-4EB6-AC81-CBE7D78C522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1A">
        <w:rPr>
          <w:rFonts w:ascii="Calibri" w:eastAsia="Times New Roman" w:hAnsi="Calibri" w:cs="Calibri"/>
          <w:color w:val="auto"/>
          <w:sz w:val="36"/>
          <w:szCs w:val="36"/>
          <w:lang w:eastAsia="en-US"/>
        </w:rPr>
        <w:t>TATWORTH AND FORTON PARISH COUNCIL</w:t>
      </w:r>
      <w:r w:rsidRPr="0012581A">
        <w:rPr>
          <w:rFonts w:ascii="Calibri" w:eastAsia="Times New Roman" w:hAnsi="Calibri" w:cs="Calibri"/>
          <w:b/>
          <w:noProof/>
          <w:color w:val="385623"/>
          <w:sz w:val="36"/>
          <w:szCs w:val="36"/>
          <w:lang w:eastAsia="en-US"/>
        </w:rPr>
        <w:t xml:space="preserve"> </w:t>
      </w:r>
    </w:p>
    <w:p w14:paraId="0B4A8701" w14:textId="77777777" w:rsidR="00C65DB2" w:rsidRPr="00C65DB2" w:rsidRDefault="00C65DB2" w:rsidP="00C65DB2">
      <w:pPr>
        <w:spacing w:after="150" w:line="240" w:lineRule="auto"/>
        <w:ind w:left="-321" w:right="-26" w:firstLine="0"/>
        <w:jc w:val="left"/>
        <w:rPr>
          <w:rFonts w:ascii="Calibri" w:eastAsia="Times New Roman" w:hAnsi="Calibri" w:cs="Calibri"/>
          <w:color w:val="auto"/>
          <w:szCs w:val="20"/>
          <w:lang w:eastAsia="en-US"/>
        </w:rPr>
      </w:pPr>
    </w:p>
    <w:p w14:paraId="4529E630" w14:textId="77777777" w:rsidR="008A3A97" w:rsidRDefault="008A3A97" w:rsidP="004237DA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73709B72" w14:textId="77777777" w:rsidR="008A3A97" w:rsidRDefault="008A3A97" w:rsidP="008A3A97">
      <w:pPr>
        <w:tabs>
          <w:tab w:val="left" w:pos="1985"/>
        </w:tabs>
        <w:spacing w:after="0" w:line="240" w:lineRule="auto"/>
        <w:ind w:left="0" w:right="62" w:firstLine="0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420866B7" w14:textId="77777777" w:rsidR="00C65DB2" w:rsidRPr="004237DA" w:rsidRDefault="004237DA" w:rsidP="008A3A97">
      <w:pPr>
        <w:tabs>
          <w:tab w:val="left" w:pos="1985"/>
        </w:tabs>
        <w:spacing w:after="0" w:line="240" w:lineRule="auto"/>
        <w:ind w:left="0" w:right="62" w:firstLine="0"/>
        <w:jc w:val="center"/>
        <w:rPr>
          <w:rFonts w:ascii="Calibri" w:eastAsia="Times New Roman" w:hAnsi="Calibri" w:cs="Calibri"/>
          <w:color w:val="385623"/>
          <w:sz w:val="44"/>
          <w:szCs w:val="44"/>
          <w:lang w:eastAsia="en-US"/>
        </w:rPr>
      </w:pPr>
      <w:r w:rsidRPr="004237DA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GR</w:t>
      </w:r>
      <w:r w:rsidR="008A3A97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ANT ASSESSMENT AND AWARDING POLICY</w:t>
      </w:r>
    </w:p>
    <w:p w14:paraId="57594F86" w14:textId="77777777" w:rsidR="00C65DB2" w:rsidRPr="00C65DB2" w:rsidRDefault="00C65DB2" w:rsidP="004237DA">
      <w:pPr>
        <w:tabs>
          <w:tab w:val="left" w:pos="1985"/>
        </w:tabs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184CA7B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4FCBD241" w14:textId="77777777" w:rsidR="00C65DB2" w:rsidRPr="00C65DB2" w:rsidRDefault="00C65DB2" w:rsidP="00C65DB2">
      <w:pPr>
        <w:spacing w:after="0" w:line="288" w:lineRule="auto"/>
        <w:ind w:left="0" w:firstLine="0"/>
        <w:jc w:val="left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7BE206DB" w14:textId="09B9A5C1" w:rsidR="00544202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314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Adopted</w:t>
      </w:r>
      <w:r w:rsidR="00544202">
        <w:rPr>
          <w:color w:val="auto"/>
          <w:sz w:val="32"/>
          <w:lang w:val="en-US" w:eastAsia="en-US"/>
        </w:rPr>
        <w:t xml:space="preserve"> </w:t>
      </w:r>
      <w:r w:rsidRPr="008949DE">
        <w:rPr>
          <w:color w:val="auto"/>
          <w:spacing w:val="-10"/>
          <w:sz w:val="32"/>
          <w:lang w:val="en-US" w:eastAsia="en-US"/>
        </w:rPr>
        <w:t xml:space="preserve">by Finance </w:t>
      </w:r>
      <w:r w:rsidR="00544202">
        <w:rPr>
          <w:color w:val="auto"/>
          <w:spacing w:val="-10"/>
          <w:sz w:val="32"/>
          <w:lang w:val="en-US" w:eastAsia="en-US"/>
        </w:rPr>
        <w:t>C</w:t>
      </w:r>
      <w:r w:rsidRPr="008949DE">
        <w:rPr>
          <w:color w:val="auto"/>
          <w:spacing w:val="-10"/>
          <w:sz w:val="32"/>
          <w:lang w:val="en-US" w:eastAsia="en-US"/>
        </w:rPr>
        <w:t>ommittee</w:t>
      </w:r>
    </w:p>
    <w:p w14:paraId="2A13A806" w14:textId="5A772EDF" w:rsidR="00544202" w:rsidRDefault="002E7857" w:rsidP="00544202">
      <w:pPr>
        <w:widowControl w:val="0"/>
        <w:autoSpaceDE w:val="0"/>
        <w:autoSpaceDN w:val="0"/>
        <w:spacing w:before="200" w:after="0" w:line="288" w:lineRule="auto"/>
        <w:ind w:left="2965" w:right="2801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18</w:t>
      </w:r>
      <w:r w:rsidRPr="002E7857">
        <w:rPr>
          <w:color w:val="auto"/>
          <w:sz w:val="32"/>
          <w:vertAlign w:val="superscript"/>
          <w:lang w:val="en-US" w:eastAsia="en-US"/>
        </w:rPr>
        <w:t>th</w:t>
      </w:r>
      <w:r>
        <w:rPr>
          <w:color w:val="auto"/>
          <w:sz w:val="32"/>
          <w:lang w:val="en-US" w:eastAsia="en-US"/>
        </w:rPr>
        <w:t xml:space="preserve"> April </w:t>
      </w:r>
      <w:r w:rsidR="00F0450E">
        <w:rPr>
          <w:color w:val="auto"/>
          <w:sz w:val="32"/>
          <w:lang w:val="en-US" w:eastAsia="en-US"/>
        </w:rPr>
        <w:t>2024</w:t>
      </w:r>
    </w:p>
    <w:p w14:paraId="7CAEBBC6" w14:textId="02CDD1B0" w:rsidR="008949DE" w:rsidRP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1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 xml:space="preserve">Minute </w:t>
      </w:r>
      <w:r w:rsidR="002E7857">
        <w:rPr>
          <w:color w:val="auto"/>
          <w:sz w:val="32"/>
          <w:lang w:val="en-US" w:eastAsia="en-US"/>
        </w:rPr>
        <w:t>25/24</w:t>
      </w:r>
    </w:p>
    <w:p w14:paraId="15E6D83B" w14:textId="77777777" w:rsidR="00544202" w:rsidRDefault="00544202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</w:p>
    <w:p w14:paraId="397CB78C" w14:textId="792ADB97" w:rsid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Approved by Full Council</w:t>
      </w:r>
    </w:p>
    <w:p w14:paraId="7C372A96" w14:textId="25C192D8" w:rsidR="00A10C43" w:rsidRDefault="002E7857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 xml:space="preserve">2 May </w:t>
      </w:r>
      <w:r w:rsidR="00F0450E">
        <w:rPr>
          <w:color w:val="auto"/>
          <w:sz w:val="32"/>
          <w:lang w:val="en-US" w:eastAsia="en-US"/>
        </w:rPr>
        <w:t>2024</w:t>
      </w:r>
    </w:p>
    <w:p w14:paraId="56DFC4A7" w14:textId="72C19311" w:rsidR="00A10C43" w:rsidRPr="008949DE" w:rsidRDefault="00A10C43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Minute No</w:t>
      </w:r>
      <w:r w:rsidR="00F0450E">
        <w:rPr>
          <w:color w:val="auto"/>
          <w:sz w:val="32"/>
          <w:lang w:val="en-US" w:eastAsia="en-US"/>
        </w:rPr>
        <w:t xml:space="preserve"> </w:t>
      </w:r>
      <w:r w:rsidR="002E7857">
        <w:rPr>
          <w:color w:val="auto"/>
          <w:sz w:val="32"/>
          <w:lang w:val="en-US" w:eastAsia="en-US"/>
        </w:rPr>
        <w:t>69/24</w:t>
      </w:r>
      <w:bookmarkStart w:id="0" w:name="_GoBack"/>
      <w:bookmarkEnd w:id="0"/>
    </w:p>
    <w:p w14:paraId="2978DA5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1C5E2B0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63A688E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5D2A7613" w14:textId="77777777" w:rsidR="00C65DB2" w:rsidRDefault="00C65DB2">
      <w:pPr>
        <w:spacing w:after="159" w:line="267" w:lineRule="auto"/>
        <w:ind w:left="322" w:hanging="10"/>
        <w:jc w:val="center"/>
        <w:rPr>
          <w:b/>
          <w:sz w:val="40"/>
        </w:rPr>
      </w:pPr>
    </w:p>
    <w:p w14:paraId="4100A4E6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0C2D7E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DE1BCA4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80EC5DB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29C93A14" w14:textId="77777777" w:rsidR="00145ED6" w:rsidRPr="008A3A97" w:rsidRDefault="00145ED6" w:rsidP="00145ED6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385623"/>
          <w:szCs w:val="24"/>
          <w:lang w:eastAsia="en-US"/>
        </w:rPr>
      </w:pPr>
    </w:p>
    <w:p w14:paraId="27C5CABD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9FF745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81F634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731938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F5AD5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07896C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32FAB2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6C5FCD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481B6B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F4C93C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7CE23B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A3C147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2DD64024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  <w:t>GRANT ASSESSMENT AND AWARDING POLICY</w:t>
      </w:r>
    </w:p>
    <w:p w14:paraId="0F677062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E4F282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Objective</w:t>
      </w:r>
    </w:p>
    <w:p w14:paraId="0DC3739A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1E3686DB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Tatworth and Forton Parish Council wishes to support activities and causes which ben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efit the parish of Tatworth and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Forton. A grant is any payment made by the Parish Council for the 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pecific purpose for which it is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claimed and for the well-being of the community.</w:t>
      </w:r>
    </w:p>
    <w:p w14:paraId="2CE043F8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29C54B7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Eligibility</w:t>
      </w:r>
    </w:p>
    <w:p w14:paraId="326ABF3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82CF441" w14:textId="3664C187" w:rsidR="00F0450E" w:rsidRDefault="00F0450E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>The organisation must be based in the parish of Tatworth and Forton and a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ny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grant made by the Parish Council must directly benefit some or all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of the residents of the parish</w:t>
      </w:r>
      <w:r>
        <w:rPr>
          <w:rFonts w:asciiTheme="minorHAnsi" w:eastAsiaTheme="minorEastAsia" w:hAnsiTheme="minorHAnsi" w:cs="Calibri"/>
          <w:color w:val="auto"/>
          <w:szCs w:val="24"/>
        </w:rPr>
        <w:t>.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Applicants must set out how the commun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ity in Tatworth and Forton will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benefit from the work funded by any grant. </w:t>
      </w:r>
    </w:p>
    <w:p w14:paraId="5261237F" w14:textId="739B959A" w:rsidR="0069681A" w:rsidRDefault="0069681A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2C72650" w14:textId="6F99E281" w:rsidR="0069681A" w:rsidRPr="00D7055C" w:rsidRDefault="0069681A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 xml:space="preserve">The grant must be 100% matched by funds coming from the applicant. </w:t>
      </w:r>
    </w:p>
    <w:p w14:paraId="0F84B971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CAE131" w14:textId="71FFF922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following criteria must be met for a group to be considered for a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grant: -</w:t>
      </w:r>
    </w:p>
    <w:p w14:paraId="0F2DF70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6ACCD6" w14:textId="136C40FB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group must be a </w:t>
      </w:r>
      <w:r w:rsidR="00812DB6">
        <w:rPr>
          <w:rFonts w:asciiTheme="minorHAnsi" w:eastAsiaTheme="minorEastAsia" w:hAnsiTheme="minorHAnsi" w:cs="Calibri"/>
          <w:color w:val="auto"/>
          <w:szCs w:val="24"/>
        </w:rPr>
        <w:t>non-profit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business,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charity, volun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tary or community organisation;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able to demonstrate that any funding from t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he Parish Council will directly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benefit the 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sidents of Tatworth and Forton.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formally constituted and have a management 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ommittee made up of volunteers</w:t>
      </w:r>
      <w:r w:rsidR="00145ED6" w:rsidRPr="00D7055C">
        <w:rPr>
          <w:rFonts w:asciiTheme="minorHAnsi" w:eastAsiaTheme="minorEastAsia" w:hAnsiTheme="minorHAnsi" w:cs="Calibri"/>
          <w:b/>
          <w:color w:val="auto"/>
          <w:szCs w:val="24"/>
        </w:rPr>
        <w:t xml:space="preserve">.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Individuals, </w:t>
      </w:r>
      <w:r w:rsidR="005701C8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for </w:t>
      </w:r>
      <w:r w:rsidR="008949DE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profit,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>businesses, or political parties are not eligible for grant funding.</w:t>
      </w:r>
    </w:p>
    <w:p w14:paraId="2941334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b/>
          <w:color w:val="auto"/>
          <w:szCs w:val="24"/>
        </w:rPr>
      </w:pPr>
    </w:p>
    <w:p w14:paraId="4558858E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Conditions.</w:t>
      </w:r>
    </w:p>
    <w:p w14:paraId="700867D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D854382" w14:textId="180AFFB0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More than one application per organisation per financial year w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ill not normally be considered.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There will be a maximum grant of £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3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00.00 per orga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nisation in any Financial Year.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reserves the right to reclaim any grant not being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used for the purpose specified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on the application form. The Parish Clerk will, therefore, be allowed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to verify that the monies have been spent accordingly.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Proper evidence of estimated expenditure must be supplied to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prior to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payment of any grant. If the Parish Council is not satisfied with th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 arrangements, it reserves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right to req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uest a refund of monies awarded.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Grants cannot be awarded after the relevant project or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event has been completed.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 acknowledgemen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t on receipt of the grant payment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is required.</w:t>
      </w:r>
    </w:p>
    <w:p w14:paraId="4C7B8AF2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A8E530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Application Process.</w:t>
      </w:r>
    </w:p>
    <w:p w14:paraId="01135F8D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5F45664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should be made by completing the Grant Awarding Application Form.</w:t>
      </w:r>
    </w:p>
    <w:p w14:paraId="0472C67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4235438F" w14:textId="787677A6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Applicants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may be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required t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o attend a Parish C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ouncil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Finance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Committee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meeting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time the application is being </w:t>
      </w:r>
      <w:r w:rsidR="00D7055C" w:rsidRPr="00D7055C">
        <w:rPr>
          <w:rFonts w:asciiTheme="minorHAnsi" w:eastAsiaTheme="minorEastAsia" w:hAnsiTheme="minorHAnsi" w:cs="Calibri"/>
          <w:color w:val="auto"/>
          <w:szCs w:val="24"/>
        </w:rPr>
        <w:t>considered in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order to outline their request.</w:t>
      </w:r>
    </w:p>
    <w:p w14:paraId="106DADDA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Symbol"/>
          <w:color w:val="auto"/>
          <w:szCs w:val="24"/>
        </w:rPr>
      </w:pPr>
    </w:p>
    <w:p w14:paraId="5AB3430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Applications must be accompanied by a copy of the organisation’s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most recent accounts, and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their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latest bank statement or income and expense report. Failure to comply will result in the application be rejected.</w:t>
      </w:r>
    </w:p>
    <w:p w14:paraId="2A207F80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BC81E4D" w14:textId="77777777" w:rsidR="008A3A97" w:rsidRPr="00D7055C" w:rsidRDefault="008A3A97" w:rsidP="0076316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An organisation which has not previously applied to the Parish Council must submit a copy of its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constitution.</w:t>
      </w:r>
    </w:p>
    <w:p w14:paraId="073F50C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01165475" w14:textId="77777777" w:rsidR="00812DB6" w:rsidRDefault="00812DB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2C6E583" w14:textId="77777777" w:rsidR="00812DB6" w:rsidRDefault="00812DB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30AD636" w14:textId="67DF0D66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Applications must be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submitted no later than the </w:t>
      </w:r>
      <w:r w:rsidR="001D3411">
        <w:rPr>
          <w:rFonts w:asciiTheme="minorHAnsi" w:eastAsiaTheme="minorEastAsia" w:hAnsiTheme="minorHAnsi" w:cs="Calibri"/>
          <w:color w:val="auto"/>
          <w:szCs w:val="24"/>
        </w:rPr>
        <w:t>date specified by the Clerk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>.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>Finance Committee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will consider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all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rec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eived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D7055C">
        <w:rPr>
          <w:rFonts w:asciiTheme="minorHAnsi" w:eastAsiaTheme="minorEastAsia" w:hAnsiTheme="minorHAnsi" w:cs="Calibri"/>
          <w:color w:val="auto"/>
          <w:szCs w:val="24"/>
        </w:rPr>
        <w:t xml:space="preserve">at its meeting in August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and mak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e their decisions/</w:t>
      </w:r>
      <w:r w:rsidR="008949DE" w:rsidRPr="00D7055C">
        <w:rPr>
          <w:rFonts w:asciiTheme="minorHAnsi" w:eastAsiaTheme="minorEastAsia" w:hAnsiTheme="minorHAnsi" w:cs="Calibri"/>
          <w:color w:val="auto"/>
          <w:szCs w:val="24"/>
        </w:rPr>
        <w:t>recommendations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known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the Full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Council in accordance with the procedures set out in the Scheme of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Delegation for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approval at its September meeting</w:t>
      </w:r>
      <w:r w:rsidRPr="00D7055C">
        <w:rPr>
          <w:rFonts w:asciiTheme="minorHAnsi" w:eastAsiaTheme="minorEastAsia" w:hAnsiTheme="minorHAnsi" w:cs="Calibri"/>
          <w:strike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If approved,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award will be made formally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 xml:space="preserve">October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meeting.</w:t>
      </w:r>
    </w:p>
    <w:p w14:paraId="71C8890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53D4F85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must set out any other funding they have been awarded or have ap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plied for. </w:t>
      </w:r>
    </w:p>
    <w:p w14:paraId="0C207EE8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are usually informed within two weeks of the meeting.</w:t>
      </w:r>
    </w:p>
    <w:p w14:paraId="55B138B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0ADA75D1" w14:textId="5D915F6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Grant recipients are required to attend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the award evening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which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will be arranged by the Clerk. </w:t>
      </w:r>
    </w:p>
    <w:p w14:paraId="79E68D8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1CD002CE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b/>
          <w:color w:val="auto"/>
          <w:szCs w:val="24"/>
        </w:rPr>
        <w:t>Promotion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: </w:t>
      </w:r>
    </w:p>
    <w:p w14:paraId="73086A6E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4E7F6B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requires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succe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ssful groups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promote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in the organisation’s newsletter or any pre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 release. The Parish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Council will also recognise successful groups in its own reports to parishioners.</w:t>
      </w:r>
    </w:p>
    <w:p w14:paraId="71F1CFB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64BB2AA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B60FE7E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auto"/>
          <w:szCs w:val="24"/>
          <w:lang w:eastAsia="en-US"/>
        </w:rPr>
      </w:pPr>
    </w:p>
    <w:p w14:paraId="53102B32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auto"/>
          <w:sz w:val="44"/>
          <w:szCs w:val="44"/>
          <w:lang w:eastAsia="en-US"/>
        </w:rPr>
      </w:pPr>
    </w:p>
    <w:p w14:paraId="2E560E15" w14:textId="77777777" w:rsidR="00C65DB2" w:rsidRPr="00D7055C" w:rsidRDefault="00C65DB2">
      <w:pPr>
        <w:spacing w:after="159" w:line="267" w:lineRule="auto"/>
        <w:ind w:left="322" w:hanging="10"/>
        <w:jc w:val="center"/>
        <w:rPr>
          <w:b/>
          <w:color w:val="auto"/>
          <w:sz w:val="40"/>
        </w:rPr>
      </w:pPr>
    </w:p>
    <w:p w14:paraId="36670B34" w14:textId="77777777" w:rsidR="006C0D04" w:rsidRPr="00D7055C" w:rsidRDefault="006C0D04">
      <w:pPr>
        <w:spacing w:after="193" w:line="259" w:lineRule="auto"/>
        <w:ind w:left="180" w:firstLine="0"/>
        <w:jc w:val="left"/>
        <w:rPr>
          <w:color w:val="auto"/>
        </w:rPr>
      </w:pPr>
    </w:p>
    <w:p w14:paraId="2A259FFC" w14:textId="77777777" w:rsidR="006C0D04" w:rsidRPr="00D7055C" w:rsidRDefault="006C0D04">
      <w:pPr>
        <w:spacing w:after="163" w:line="259" w:lineRule="auto"/>
        <w:ind w:left="180" w:firstLine="0"/>
        <w:jc w:val="left"/>
        <w:rPr>
          <w:color w:val="auto"/>
        </w:rPr>
      </w:pPr>
    </w:p>
    <w:p w14:paraId="00775513" w14:textId="77777777" w:rsidR="006C0D04" w:rsidRPr="00D7055C" w:rsidRDefault="006B6B9B">
      <w:pPr>
        <w:spacing w:after="165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7D077B29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30CDC1E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3F653275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84D77E4" w14:textId="77777777" w:rsidR="006C0D04" w:rsidRDefault="006B6B9B">
      <w:pPr>
        <w:spacing w:after="165" w:line="259" w:lineRule="auto"/>
        <w:ind w:left="180" w:firstLine="0"/>
        <w:jc w:val="left"/>
      </w:pPr>
      <w:r>
        <w:rPr>
          <w:i/>
        </w:rPr>
        <w:t xml:space="preserve"> </w:t>
      </w:r>
    </w:p>
    <w:p w14:paraId="3EFD20F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0FE5C9D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7D7C31F6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0959ECF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6FA292B" w14:textId="77777777" w:rsidR="006C0D04" w:rsidRDefault="006B6B9B">
      <w:pPr>
        <w:spacing w:after="166" w:line="259" w:lineRule="auto"/>
        <w:ind w:left="180" w:firstLine="0"/>
        <w:jc w:val="left"/>
      </w:pPr>
      <w:r>
        <w:rPr>
          <w:i/>
        </w:rPr>
        <w:t xml:space="preserve"> </w:t>
      </w:r>
    </w:p>
    <w:p w14:paraId="660A1269" w14:textId="77777777" w:rsidR="006C0D04" w:rsidRPr="0076316A" w:rsidRDefault="006B6B9B" w:rsidP="0076316A">
      <w:pPr>
        <w:spacing w:after="252" w:line="259" w:lineRule="auto"/>
        <w:ind w:left="180" w:firstLine="0"/>
        <w:jc w:val="left"/>
        <w:rPr>
          <w:i/>
        </w:rPr>
      </w:pPr>
      <w:r>
        <w:rPr>
          <w:i/>
        </w:rPr>
        <w:t xml:space="preserve"> </w:t>
      </w:r>
    </w:p>
    <w:sectPr w:rsidR="006C0D04" w:rsidRPr="0076316A" w:rsidSect="0098052D">
      <w:footerReference w:type="even" r:id="rId9"/>
      <w:footerReference w:type="default" r:id="rId10"/>
      <w:footerReference w:type="first" r:id="rId11"/>
      <w:pgSz w:w="11906" w:h="16838"/>
      <w:pgMar w:top="426" w:right="1126" w:bottom="426" w:left="953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07BA" w14:textId="77777777" w:rsidR="00453103" w:rsidRDefault="00453103">
      <w:pPr>
        <w:spacing w:after="0" w:line="240" w:lineRule="auto"/>
      </w:pPr>
      <w:r>
        <w:separator/>
      </w:r>
    </w:p>
  </w:endnote>
  <w:endnote w:type="continuationSeparator" w:id="0">
    <w:p w14:paraId="7AFAFA50" w14:textId="77777777" w:rsidR="00453103" w:rsidRDefault="0045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42FA" w14:textId="77777777" w:rsidR="0076316A" w:rsidRDefault="0076316A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A6F5753" w14:textId="77777777" w:rsidR="0076316A" w:rsidRDefault="0076316A">
    <w:pPr>
      <w:spacing w:after="0" w:line="259" w:lineRule="auto"/>
      <w:ind w:left="18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0309" w14:textId="7A7DF7F6" w:rsidR="00472D4A" w:rsidRPr="00472D4A" w:rsidRDefault="00472D4A">
    <w:pPr>
      <w:pStyle w:val="Footer"/>
      <w:rPr>
        <w:rFonts w:ascii="Times New Roman" w:hAnsi="Times New Roman"/>
        <w:sz w:val="20"/>
        <w:szCs w:val="20"/>
      </w:rPr>
    </w:pPr>
    <w:r w:rsidRPr="00472D4A">
      <w:rPr>
        <w:rFonts w:ascii="Times New Roman" w:hAnsi="Times New Roman"/>
        <w:sz w:val="20"/>
        <w:szCs w:val="20"/>
      </w:rPr>
      <w:t xml:space="preserve">Approved </w:t>
    </w:r>
    <w:r w:rsidR="0069681A">
      <w:rPr>
        <w:rFonts w:ascii="Times New Roman" w:hAnsi="Times New Roman"/>
        <w:sz w:val="20"/>
        <w:szCs w:val="20"/>
      </w:rPr>
      <w:t>2024</w:t>
    </w:r>
    <w:r w:rsidR="0069681A">
      <w:rPr>
        <w:rFonts w:ascii="Times New Roman" w:hAnsi="Times New Roman"/>
        <w:sz w:val="20"/>
        <w:szCs w:val="20"/>
      </w:rPr>
      <w:tab/>
    </w:r>
    <w:r w:rsidR="0069681A">
      <w:rPr>
        <w:rFonts w:ascii="Times New Roman" w:hAnsi="Times New Roman"/>
        <w:sz w:val="20"/>
        <w:szCs w:val="20"/>
      </w:rPr>
      <w:tab/>
    </w:r>
    <w:r w:rsidRPr="00472D4A">
      <w:rPr>
        <w:rFonts w:ascii="Times New Roman" w:hAnsi="Times New Roman"/>
        <w:sz w:val="20"/>
        <w:szCs w:val="20"/>
      </w:rPr>
      <w:t>Minute No 23</w:t>
    </w:r>
  </w:p>
  <w:p w14:paraId="1F59AB52" w14:textId="05454ABE" w:rsidR="0076316A" w:rsidRDefault="0076316A">
    <w:pPr>
      <w:spacing w:after="0" w:line="259" w:lineRule="auto"/>
      <w:ind w:left="18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80E4E" w14:textId="77777777" w:rsidR="0076316A" w:rsidRDefault="007631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C26E9" w14:textId="77777777" w:rsidR="00453103" w:rsidRDefault="00453103">
      <w:pPr>
        <w:spacing w:after="0" w:line="269" w:lineRule="auto"/>
        <w:ind w:left="180" w:firstLine="0"/>
        <w:jc w:val="left"/>
      </w:pPr>
      <w:r>
        <w:separator/>
      </w:r>
    </w:p>
  </w:footnote>
  <w:footnote w:type="continuationSeparator" w:id="0">
    <w:p w14:paraId="11ACBC6B" w14:textId="77777777" w:rsidR="00453103" w:rsidRDefault="00453103">
      <w:pPr>
        <w:spacing w:after="0" w:line="269" w:lineRule="auto"/>
        <w:ind w:left="18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E3B"/>
    <w:multiLevelType w:val="hybridMultilevel"/>
    <w:tmpl w:val="DCB247DA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09D60E04"/>
    <w:multiLevelType w:val="multilevel"/>
    <w:tmpl w:val="E9E8302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B31CC"/>
    <w:multiLevelType w:val="multilevel"/>
    <w:tmpl w:val="4DBCA6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A2881"/>
    <w:multiLevelType w:val="hybridMultilevel"/>
    <w:tmpl w:val="8E2A6118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0EED406D"/>
    <w:multiLevelType w:val="hybridMultilevel"/>
    <w:tmpl w:val="A81233D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 w15:restartNumberingAfterBreak="0">
    <w:nsid w:val="0F1D7426"/>
    <w:multiLevelType w:val="hybridMultilevel"/>
    <w:tmpl w:val="6D20C684"/>
    <w:lvl w:ilvl="0" w:tplc="680C205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D6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CF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54B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2221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5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CDC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A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262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B139E"/>
    <w:multiLevelType w:val="multilevel"/>
    <w:tmpl w:val="9AD2EB8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90B4E"/>
    <w:multiLevelType w:val="hybridMultilevel"/>
    <w:tmpl w:val="D4FEB38C"/>
    <w:lvl w:ilvl="0" w:tplc="B00C4D8E">
      <w:start w:val="1"/>
      <w:numFmt w:val="bullet"/>
      <w:lvlText w:val="•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0404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635B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65E9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8928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42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321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E07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26F4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D158A"/>
    <w:multiLevelType w:val="hybridMultilevel"/>
    <w:tmpl w:val="2EF622D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21556C28"/>
    <w:multiLevelType w:val="hybridMultilevel"/>
    <w:tmpl w:val="BB983FA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04948"/>
    <w:multiLevelType w:val="multilevel"/>
    <w:tmpl w:val="404C269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46816"/>
    <w:multiLevelType w:val="hybridMultilevel"/>
    <w:tmpl w:val="DCD43CE6"/>
    <w:lvl w:ilvl="0" w:tplc="D87A6D72">
      <w:start w:val="1"/>
      <w:numFmt w:val="bullet"/>
      <w:lvlText w:val="•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05CB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ECA10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92B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4C80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A4636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D196">
      <w:start w:val="1"/>
      <w:numFmt w:val="bullet"/>
      <w:lvlText w:val="•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AC1E">
      <w:start w:val="1"/>
      <w:numFmt w:val="bullet"/>
      <w:lvlText w:val="o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5C6">
      <w:start w:val="1"/>
      <w:numFmt w:val="bullet"/>
      <w:lvlText w:val="▪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04405"/>
    <w:multiLevelType w:val="hybridMultilevel"/>
    <w:tmpl w:val="E0BE8E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D84701"/>
    <w:multiLevelType w:val="hybridMultilevel"/>
    <w:tmpl w:val="AAD8C60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6196391"/>
    <w:multiLevelType w:val="hybridMultilevel"/>
    <w:tmpl w:val="450EBA96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5" w15:restartNumberingAfterBreak="0">
    <w:nsid w:val="4893623E"/>
    <w:multiLevelType w:val="hybridMultilevel"/>
    <w:tmpl w:val="3CE6C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2C15"/>
    <w:multiLevelType w:val="hybridMultilevel"/>
    <w:tmpl w:val="D23270CA"/>
    <w:lvl w:ilvl="0" w:tplc="8AE62DB6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5CB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C4E1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246C2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66116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000F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A198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9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CF90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F1BA8"/>
    <w:multiLevelType w:val="hybridMultilevel"/>
    <w:tmpl w:val="5AFAB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15D"/>
    <w:multiLevelType w:val="hybridMultilevel"/>
    <w:tmpl w:val="57DCEAFA"/>
    <w:lvl w:ilvl="0" w:tplc="08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9" w15:restartNumberingAfterBreak="0">
    <w:nsid w:val="55ED3D9B"/>
    <w:multiLevelType w:val="multilevel"/>
    <w:tmpl w:val="57B2B5E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2327D"/>
    <w:multiLevelType w:val="hybridMultilevel"/>
    <w:tmpl w:val="5C7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3B0"/>
    <w:multiLevelType w:val="hybridMultilevel"/>
    <w:tmpl w:val="9DE02A5A"/>
    <w:lvl w:ilvl="0" w:tplc="4A50558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4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D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D5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8F4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66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D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0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AA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B219F0"/>
    <w:multiLevelType w:val="hybridMultilevel"/>
    <w:tmpl w:val="A6A8EAF0"/>
    <w:lvl w:ilvl="0" w:tplc="A29CE42A">
      <w:start w:val="1"/>
      <w:numFmt w:val="lowerLetter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007A8">
      <w:start w:val="1"/>
      <w:numFmt w:val="lowerRoman"/>
      <w:lvlText w:val="%2.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F8D6">
      <w:start w:val="1"/>
      <w:numFmt w:val="lowerRoman"/>
      <w:lvlText w:val="%3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C7DE8">
      <w:start w:val="1"/>
      <w:numFmt w:val="decimal"/>
      <w:lvlText w:val="%4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0028">
      <w:start w:val="1"/>
      <w:numFmt w:val="lowerLetter"/>
      <w:lvlText w:val="%5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D846">
      <w:start w:val="1"/>
      <w:numFmt w:val="lowerRoman"/>
      <w:lvlText w:val="%6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BF30">
      <w:start w:val="1"/>
      <w:numFmt w:val="decimal"/>
      <w:lvlText w:val="%7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7334">
      <w:start w:val="1"/>
      <w:numFmt w:val="lowerLetter"/>
      <w:lvlText w:val="%8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25A54">
      <w:start w:val="1"/>
      <w:numFmt w:val="lowerRoman"/>
      <w:lvlText w:val="%9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F21F80"/>
    <w:multiLevelType w:val="hybridMultilevel"/>
    <w:tmpl w:val="72440C26"/>
    <w:lvl w:ilvl="0" w:tplc="901AD422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ED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C2316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EA1C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8EA9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53C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2F4D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66A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859C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003224"/>
    <w:multiLevelType w:val="multilevel"/>
    <w:tmpl w:val="876A685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5B733F"/>
    <w:multiLevelType w:val="hybridMultilevel"/>
    <w:tmpl w:val="36B4F36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 w15:restartNumberingAfterBreak="0">
    <w:nsid w:val="6F87529F"/>
    <w:multiLevelType w:val="hybridMultilevel"/>
    <w:tmpl w:val="82DEE5B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4EE1726"/>
    <w:multiLevelType w:val="hybridMultilevel"/>
    <w:tmpl w:val="0DF27BC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7"/>
  </w:num>
  <w:num w:numId="5">
    <w:abstractNumId w:val="19"/>
  </w:num>
  <w:num w:numId="6">
    <w:abstractNumId w:val="11"/>
  </w:num>
  <w:num w:numId="7">
    <w:abstractNumId w:val="2"/>
  </w:num>
  <w:num w:numId="8">
    <w:abstractNumId w:val="23"/>
  </w:num>
  <w:num w:numId="9">
    <w:abstractNumId w:val="10"/>
  </w:num>
  <w:num w:numId="10">
    <w:abstractNumId w:val="16"/>
  </w:num>
  <w:num w:numId="11">
    <w:abstractNumId w:val="1"/>
  </w:num>
  <w:num w:numId="12">
    <w:abstractNumId w:val="22"/>
  </w:num>
  <w:num w:numId="13">
    <w:abstractNumId w:val="21"/>
  </w:num>
  <w:num w:numId="14">
    <w:abstractNumId w:val="15"/>
  </w:num>
  <w:num w:numId="15">
    <w:abstractNumId w:val="20"/>
  </w:num>
  <w:num w:numId="16">
    <w:abstractNumId w:val="17"/>
  </w:num>
  <w:num w:numId="17">
    <w:abstractNumId w:val="13"/>
  </w:num>
  <w:num w:numId="18">
    <w:abstractNumId w:val="27"/>
  </w:num>
  <w:num w:numId="19">
    <w:abstractNumId w:val="12"/>
  </w:num>
  <w:num w:numId="20">
    <w:abstractNumId w:val="18"/>
  </w:num>
  <w:num w:numId="21">
    <w:abstractNumId w:val="9"/>
  </w:num>
  <w:num w:numId="22">
    <w:abstractNumId w:val="14"/>
  </w:num>
  <w:num w:numId="23">
    <w:abstractNumId w:val="4"/>
  </w:num>
  <w:num w:numId="24">
    <w:abstractNumId w:val="3"/>
  </w:num>
  <w:num w:numId="25">
    <w:abstractNumId w:val="8"/>
  </w:num>
  <w:num w:numId="26">
    <w:abstractNumId w:val="0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04"/>
    <w:rsid w:val="000A0A76"/>
    <w:rsid w:val="000B6E43"/>
    <w:rsid w:val="001233B8"/>
    <w:rsid w:val="0012581A"/>
    <w:rsid w:val="00145ED6"/>
    <w:rsid w:val="001C45F2"/>
    <w:rsid w:val="001D3411"/>
    <w:rsid w:val="002A01B4"/>
    <w:rsid w:val="002E624F"/>
    <w:rsid w:val="002E7857"/>
    <w:rsid w:val="003D70AB"/>
    <w:rsid w:val="004237DA"/>
    <w:rsid w:val="00453103"/>
    <w:rsid w:val="00456B3F"/>
    <w:rsid w:val="00461372"/>
    <w:rsid w:val="00472D4A"/>
    <w:rsid w:val="004D0DC5"/>
    <w:rsid w:val="004E2C95"/>
    <w:rsid w:val="00544202"/>
    <w:rsid w:val="005701C8"/>
    <w:rsid w:val="00677FE2"/>
    <w:rsid w:val="0069681A"/>
    <w:rsid w:val="006B6B9B"/>
    <w:rsid w:val="006C0D04"/>
    <w:rsid w:val="006C11E4"/>
    <w:rsid w:val="006D19B6"/>
    <w:rsid w:val="0076316A"/>
    <w:rsid w:val="00812DB6"/>
    <w:rsid w:val="00827870"/>
    <w:rsid w:val="008949DE"/>
    <w:rsid w:val="008A3A97"/>
    <w:rsid w:val="009316B0"/>
    <w:rsid w:val="00960FCF"/>
    <w:rsid w:val="0098052D"/>
    <w:rsid w:val="009A3C0B"/>
    <w:rsid w:val="009E193D"/>
    <w:rsid w:val="00A10C43"/>
    <w:rsid w:val="00B365EA"/>
    <w:rsid w:val="00B60833"/>
    <w:rsid w:val="00BB1B30"/>
    <w:rsid w:val="00BD27A6"/>
    <w:rsid w:val="00C065BF"/>
    <w:rsid w:val="00C220FC"/>
    <w:rsid w:val="00C65DB2"/>
    <w:rsid w:val="00CC0E22"/>
    <w:rsid w:val="00D7055C"/>
    <w:rsid w:val="00E032E4"/>
    <w:rsid w:val="00E80A26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0C2"/>
  <w15:docId w15:val="{1C8923E5-3CF3-4010-9883-03ED7DE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1" w:line="271" w:lineRule="auto"/>
      <w:ind w:left="1042" w:hanging="862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3"/>
      </w:numPr>
      <w:spacing w:after="159" w:line="267" w:lineRule="auto"/>
      <w:ind w:left="19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paragraph" w:styleId="TOC1">
    <w:name w:val="toc 1"/>
    <w:hidden/>
    <w:pPr>
      <w:spacing w:after="76" w:line="271" w:lineRule="auto"/>
      <w:ind w:left="195" w:right="23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9B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0B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A0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7A6"/>
    <w:pPr>
      <w:spacing w:after="200" w:line="276" w:lineRule="auto"/>
      <w:ind w:left="720" w:firstLine="0"/>
      <w:contextualSpacing/>
    </w:pPr>
    <w:rPr>
      <w:rFonts w:ascii="Univers 45 Light" w:eastAsiaTheme="minorHAnsi" w:hAnsi="Univers 45 Light" w:cstheme="minorBidi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D4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2D4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2EEF3C4-1860-4EB6-AC81-CBE7D78C5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subject/>
  <dc:creator>George Wisz</dc:creator>
  <cp:keywords/>
  <cp:lastModifiedBy>TandFPC Clerk</cp:lastModifiedBy>
  <cp:revision>2</cp:revision>
  <cp:lastPrinted>2020-02-06T17:41:00Z</cp:lastPrinted>
  <dcterms:created xsi:type="dcterms:W3CDTF">2024-05-03T09:41:00Z</dcterms:created>
  <dcterms:modified xsi:type="dcterms:W3CDTF">2024-05-03T09:41:00Z</dcterms:modified>
</cp:coreProperties>
</file>